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Borders>
          <w:top w:val="none" w:sz="0" w:space="0" w:color="auto"/>
          <w:left w:val="none" w:sz="0" w:space="0" w:color="auto"/>
          <w:bottom w:val="none" w:sz="0" w:space="0" w:color="auto"/>
          <w:right w:val="none" w:sz="0" w:space="0" w:color="auto"/>
          <w:insideH w:val="none" w:sz="0" w:space="0" w:color="auto"/>
          <w:insideV w:val="none" w:sz="0" w:space="0" w:color="auto"/>
        </w:tblBorders>
      </w:tblPr>
      <w:tblGrid>
        <w:gridCol w:w="2160"/>
        <w:gridCol w:w="6480"/>
      </w:tblGrid>
      <w:tr>
        <w:tc>
          <w:tcPr>
            <w:tcW w:type="dxa" w:w="4680"/>
            <w:vAlign w:val="top"/>
          </w:tcPr>
          <w:p>
            <w:pPr>
              <w:jc w:val="center"/>
            </w:pPr>
            <w:r>
              <w:drawing>
                <wp:inline xmlns:a="http://schemas.openxmlformats.org/drawingml/2006/main" xmlns:pic="http://schemas.openxmlformats.org/drawingml/2006/picture">
                  <wp:extent cx="1188720" cy="1181849"/>
                  <wp:docPr id="1" name="Picture 1"/>
                  <wp:cNvGraphicFramePr>
                    <a:graphicFrameLocks noChangeAspect="1"/>
                  </wp:cNvGraphicFramePr>
                  <a:graphic>
                    <a:graphicData uri="http://schemas.openxmlformats.org/drawingml/2006/picture">
                      <pic:pic>
                        <pic:nvPicPr>
                          <pic:cNvPr id="0" name="profile.jpg"/>
                          <pic:cNvPicPr/>
                        </pic:nvPicPr>
                        <pic:blipFill>
                          <a:blip r:embed="rId9"/>
                          <a:stretch>
                            <a:fillRect/>
                          </a:stretch>
                        </pic:blipFill>
                        <pic:spPr>
                          <a:xfrm>
                            <a:off x="0" y="0"/>
                            <a:ext cx="1188720" cy="1181849"/>
                          </a:xfrm>
                          <a:prstGeom prst="rect"/>
                        </pic:spPr>
                      </pic:pic>
                    </a:graphicData>
                  </a:graphic>
                </wp:inline>
              </w:drawing>
            </w:r>
          </w:p>
        </w:tc>
        <w:tc>
          <w:tcPr>
            <w:tcW w:type="dxa" w:w="4680"/>
            <w:vAlign w:val="top"/>
          </w:tcPr>
          <w:p>
            <w:r/>
            <w:r>
              <w:rPr>
                <w:b/>
                <w:color w:val="1F4E79"/>
                <w:sz w:val="36"/>
              </w:rPr>
              <w:t>Pierre Blavier</w:t>
            </w:r>
          </w:p>
          <w:p>
            <w:r>
              <w:rPr>
                <w:i/>
                <w:color w:val="1F4E79"/>
                <w:sz w:val="24"/>
              </w:rPr>
              <w:t>Storage &amp; Infrastructure Engineer</w:t>
            </w:r>
          </w:p>
          <w:p>
            <w:r>
              <w:rPr>
                <w:sz w:val="18"/>
              </w:rPr>
              <w:t>📧 pierre_blavier@live.fr</w:t>
            </w:r>
          </w:p>
          <w:p>
            <w:r>
              <w:rPr>
                <w:sz w:val="18"/>
              </w:rPr>
              <w:t>📞 +33 7 49 78 13 69</w:t>
            </w:r>
          </w:p>
          <w:p>
            <w:r>
              <w:rPr>
                <w:sz w:val="18"/>
              </w:rPr>
              <w:t>📍 Luxembourg</w:t>
            </w:r>
          </w:p>
        </w:tc>
      </w:tr>
    </w:tbl>
    <w:p/>
    <w:p>
      <w:r>
        <w:t>________________________________________________________________________________</w:t>
      </w:r>
    </w:p>
    <w:p>
      <w:r>
        <w:rPr>
          <w:b/>
          <w:color w:val="1F4E79"/>
          <w:sz w:val="24"/>
        </w:rPr>
        <w:t>PROFESSIONAL SUMMARY</w:t>
      </w:r>
    </w:p>
    <w:p>
      <w:r>
        <w:rPr>
          <w:sz w:val="22"/>
        </w:rPr>
        <w:t>Experienced Storage and Infrastructure Engineer with strong expertise in enterprise SAN/NAS environments, backup technologies, and data center operations. Skilled in managing large-scale storage infrastructures (220+ arrays, 535+ SAN switches), performing migrations, capacity management, and ensuring compliance with PCI standards. Recognized for technical precision, structured communication, and collaboration across multi-national IT teams.</w:t>
      </w:r>
    </w:p>
    <w:p>
      <w:r>
        <w:rPr>
          <w:b/>
          <w:color w:val="1F4E79"/>
          <w:sz w:val="24"/>
        </w:rPr>
        <w:t>PROFESSIONAL EXPERIENCE</w:t>
      </w:r>
    </w:p>
    <w:p>
      <w:r>
        <w:rPr>
          <w:b/>
          <w:sz w:val="22"/>
        </w:rPr>
        <w:t>Worldline Luxembourg — Storage Engineer</w:t>
      </w:r>
    </w:p>
    <w:p>
      <w:r>
        <w:rPr>
          <w:i/>
          <w:sz w:val="20"/>
        </w:rPr>
        <w:t>Feb 2022 – Present</w:t>
      </w:r>
    </w:p>
    <w:p>
      <w:r>
        <w:rPr>
          <w:sz w:val="22"/>
        </w:rPr>
        <w:t>Responsible for the design, operation, and optimization of enterprise-grade storage and SAN environments across multiple data centers.</w:t>
      </w:r>
    </w:p>
    <w:p>
      <w:r>
        <w:rPr>
          <w:sz w:val="22"/>
        </w:rPr>
        <w:t>• Manage incidents, troubleshoot storage and SAN issues, and monitor infrastructure health.</w:t>
      </w:r>
    </w:p>
    <w:p>
      <w:r>
        <w:rPr>
          <w:sz w:val="22"/>
        </w:rPr>
        <w:t>• Perform standard and complex change management (disk provisioning, zoning, firmware upgrades, capacity expansion).</w:t>
      </w:r>
    </w:p>
    <w:p>
      <w:r>
        <w:rPr>
          <w:sz w:val="22"/>
        </w:rPr>
        <w:t>• Handle obsolescence and lifecycle management: hardware replacement, firmware compliance, and modernization plans.</w:t>
      </w:r>
    </w:p>
    <w:p>
      <w:r>
        <w:rPr>
          <w:sz w:val="22"/>
        </w:rPr>
        <w:t>• Participate in business and infrastructure projects, collaborating with internal customers and cross-functional teams.</w:t>
      </w:r>
    </w:p>
    <w:p>
      <w:r>
        <w:rPr>
          <w:sz w:val="22"/>
        </w:rPr>
        <w:t>• Support PCI and financial audits with detailed infrastructure documentation.</w:t>
      </w:r>
    </w:p>
    <w:p>
      <w:r>
        <w:rPr>
          <w:sz w:val="22"/>
        </w:rPr>
        <w:t>• Conduct daily and internal team meetings, including automation and improvement initiatives.</w:t>
      </w:r>
    </w:p>
    <w:p>
      <w:r>
        <w:rPr>
          <w:b/>
          <w:sz w:val="22"/>
        </w:rPr>
        <w:t xml:space="preserve">• BE (Apr–Jun 2025): </w:t>
      </w:r>
      <w:r>
        <w:rPr>
          <w:sz w:val="22"/>
        </w:rPr>
        <w:t>Migration of data to a dedicated storage infrastructure to improve resilience and isolate workloads. Worked with Oracle FS support team on planning and execution.</w:t>
      </w:r>
    </w:p>
    <w:p>
      <w:r>
        <w:rPr>
          <w:b/>
          <w:sz w:val="22"/>
        </w:rPr>
        <w:t xml:space="preserve">• NL (2025): </w:t>
      </w:r>
      <w:r>
        <w:rPr>
          <w:sz w:val="22"/>
        </w:rPr>
        <w:t>Isolation of an acquiring platform onto a dedicated infrastructure to meet PCI v4 encryption requirements and increase performance. Migration coincided with virtualization-to-physical transition across 2 data centers.</w:t>
      </w:r>
    </w:p>
    <w:p>
      <w:r>
        <w:rPr>
          <w:b/>
          <w:sz w:val="22"/>
        </w:rPr>
        <w:t xml:space="preserve">• GE (2025): </w:t>
      </w:r>
      <w:r>
        <w:rPr>
          <w:sz w:val="22"/>
        </w:rPr>
        <w:t>Deployment of a full dedicated SAN solution for a sensitive system, including an Active/Active configuration across 2 data centers.</w:t>
      </w:r>
    </w:p>
    <w:p/>
    <w:p>
      <w:r>
        <w:rPr>
          <w:b/>
          <w:sz w:val="22"/>
        </w:rPr>
        <w:t>EY Luxembourg — IT System Engineer</w:t>
      </w:r>
    </w:p>
    <w:p>
      <w:r>
        <w:rPr>
          <w:i/>
          <w:sz w:val="20"/>
        </w:rPr>
        <w:t>Mar 2020 – Feb 2022</w:t>
      </w:r>
    </w:p>
    <w:p>
      <w:r>
        <w:rPr>
          <w:sz w:val="22"/>
        </w:rPr>
        <w:t>Managed internal IT infrastructure and evaluated technological solutions for enterprise systems. Supported virtualization, storage, and server infrastructures. Led infrastructure provision evaluations and client support activities. Participated in infrastructure modernization and internal project assessments.</w:t>
      </w:r>
    </w:p>
    <w:p/>
    <w:p>
      <w:r>
        <w:rPr>
          <w:b/>
          <w:sz w:val="22"/>
        </w:rPr>
        <w:t>KPMG Luxembourg — IT System Engineer</w:t>
      </w:r>
    </w:p>
    <w:p>
      <w:r>
        <w:rPr>
          <w:i/>
          <w:sz w:val="20"/>
        </w:rPr>
        <w:t>Sep 2018 – Mar 2020</w:t>
      </w:r>
    </w:p>
    <w:p>
      <w:r>
        <w:rPr>
          <w:sz w:val="22"/>
        </w:rPr>
        <w:t>Handled both internal and client-based IT infrastructure, including servers, virtualization, and network systems. Evaluated infrastructure needs and provided tailored solutions for clients. Coordinated technical implementations and system documentation.</w:t>
      </w:r>
    </w:p>
    <w:p/>
    <w:p>
      <w:r>
        <w:rPr>
          <w:b/>
          <w:sz w:val="22"/>
        </w:rPr>
        <w:t>Telindus S.A — Internship (SDN Technologies)</w:t>
      </w:r>
    </w:p>
    <w:p>
      <w:r>
        <w:rPr>
          <w:i/>
          <w:sz w:val="20"/>
        </w:rPr>
        <w:t>Feb 2018 – May 2018</w:t>
      </w:r>
    </w:p>
    <w:p>
      <w:r>
        <w:rPr>
          <w:sz w:val="22"/>
        </w:rPr>
        <w:t>Deployed and evaluated Cisco SDA technologies. Integrated hardware VTEPs with VMware NSX.</w:t>
      </w:r>
    </w:p>
    <w:p/>
    <w:p>
      <w:r>
        <w:rPr>
          <w:b/>
          <w:color w:val="1F4E79"/>
          <w:sz w:val="24"/>
        </w:rPr>
        <w:t>EDUCATION</w:t>
      </w:r>
    </w:p>
    <w:p>
      <w:r>
        <w:rPr>
          <w:sz w:val="22"/>
        </w:rPr>
        <w:t>• Bachelor's Degree in Computer Science — Haute École de la Ville de Liège – ISET (2014–2018)</w:t>
      </w:r>
    </w:p>
    <w:p>
      <w:r>
        <w:rPr>
          <w:sz w:val="22"/>
        </w:rPr>
        <w:t>• High School Diploma — Athénée Royal de Chênée – Liège (2005–2011)</w:t>
      </w:r>
    </w:p>
    <w:p/>
    <w:p>
      <w:r>
        <w:rPr>
          <w:b/>
          <w:color w:val="1F4E79"/>
          <w:sz w:val="24"/>
        </w:rPr>
        <w:t>TECHNICAL SKILLS</w:t>
      </w:r>
    </w:p>
    <w:p>
      <w:r>
        <w:rPr>
          <w:b/>
          <w:sz w:val="22"/>
        </w:rPr>
        <w:t xml:space="preserve">Storage Systems: </w:t>
      </w:r>
      <w:r>
        <w:rPr>
          <w:sz w:val="22"/>
        </w:rPr>
        <w:t>NetApp MetroCluster AFF250, FAS8020, FAS2750 | HPE 3PAR &amp; Primera | Pure FA-X70R3 | Lenovo 2806 | IBM SVC | Hitachi VSP G700, G350, ONE</w:t>
      </w:r>
    </w:p>
    <w:p>
      <w:r>
        <w:rPr>
          <w:b/>
          <w:sz w:val="22"/>
        </w:rPr>
        <w:t xml:space="preserve">SAN Fabric: </w:t>
      </w:r>
      <w:r>
        <w:rPr>
          <w:sz w:val="22"/>
        </w:rPr>
        <w:t>Brocade G620, G720 — managing 500 SAN switches</w:t>
      </w:r>
    </w:p>
    <w:p>
      <w:r>
        <w:rPr>
          <w:b/>
          <w:sz w:val="22"/>
        </w:rPr>
        <w:t xml:space="preserve">Backup Solutions: </w:t>
      </w:r>
      <w:r>
        <w:rPr>
          <w:sz w:val="22"/>
        </w:rPr>
        <w:t>Veeam | Veritas NetBackup | Commvault</w:t>
      </w:r>
    </w:p>
    <w:p>
      <w:r>
        <w:rPr>
          <w:b/>
          <w:sz w:val="22"/>
        </w:rPr>
        <w:t xml:space="preserve">Virtualization: </w:t>
      </w:r>
      <w:r>
        <w:rPr>
          <w:sz w:val="22"/>
        </w:rPr>
        <w:t>Windows Server 2012–2019 | Linux (Debian, CentOS) | VMware vCenter / ESXi</w:t>
      </w:r>
    </w:p>
    <w:p>
      <w:r>
        <w:rPr>
          <w:b/>
          <w:sz w:val="22"/>
        </w:rPr>
        <w:t xml:space="preserve">Scripting &amp; Automation: </w:t>
      </w:r>
      <w:r>
        <w:rPr>
          <w:sz w:val="22"/>
        </w:rPr>
        <w:t>PowerShell | Bash | Python basics</w:t>
      </w:r>
    </w:p>
    <w:p>
      <w:r>
        <w:rPr>
          <w:b/>
          <w:sz w:val="22"/>
        </w:rPr>
        <w:t xml:space="preserve">Networking: </w:t>
      </w:r>
      <w:r>
        <w:rPr>
          <w:sz w:val="22"/>
        </w:rPr>
        <w:t>TCP/IP | VLANs | Fibre Channel | iSCSI | Cisco IOS</w:t>
      </w:r>
    </w:p>
    <w:p/>
    <w:p>
      <w:r>
        <w:rPr>
          <w:b/>
          <w:color w:val="1F4E79"/>
          <w:sz w:val="24"/>
        </w:rPr>
        <w:t>LANGUAGES</w:t>
      </w:r>
    </w:p>
    <w:p>
      <w:r>
        <w:rPr>
          <w:sz w:val="22"/>
        </w:rPr>
        <w:t>• English — Fluent</w:t>
      </w:r>
    </w:p>
    <w:p>
      <w:r>
        <w:rPr>
          <w:sz w:val="22"/>
        </w:rPr>
        <w:t>• French — Native</w:t>
      </w:r>
    </w:p>
    <w:p/>
    <w:p>
      <w:r>
        <w:rPr>
          <w:b/>
          <w:color w:val="1F4E79"/>
          <w:sz w:val="24"/>
        </w:rPr>
        <w:t>INTERESTS</w:t>
      </w:r>
    </w:p>
    <w:p>
      <w:r>
        <w:rPr>
          <w:sz w:val="22"/>
        </w:rPr>
        <w:t>• New technologies</w:t>
      </w:r>
    </w:p>
    <w:p>
      <w:r>
        <w:rPr>
          <w:sz w:val="22"/>
        </w:rPr>
        <w:t>• Photography</w:t>
      </w:r>
    </w:p>
    <w:p>
      <w:r>
        <w:rPr>
          <w:sz w:val="22"/>
        </w:rPr>
        <w:t>• FPV drone</w:t>
      </w:r>
    </w:p>
    <w:p>
      <w:r>
        <w:rPr>
          <w:sz w:val="22"/>
        </w:rPr>
        <w:t>• Floorball (indoor hockey)</w:t>
      </w:r>
    </w:p>
    <w:p>
      <w:r>
        <w:rPr>
          <w:sz w:val="22"/>
        </w:rPr>
        <w:t>• Music</w:t>
      </w:r>
    </w:p>
    <w:sectPr w:rsidR="00FC693F" w:rsidRPr="0006063C" w:rsidSect="00034616">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